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color w:val="6B5CE7"/>
          <w:sz w:val="18"/>
          <w:szCs w:val="18"/>
        </w:rPr>
        <w:t xml:space="preserve">ETERNA CREATIVE · OPERATIONS BRIEF</w:t>
      </w:r>
    </w:p>
    <w:p>
      <w:pPr>
        <w:spacing w:after="80"/>
      </w:pPr>
      <w:r>
        <w:rPr>
          <w:b/>
          <w:bCs/>
          <w:sz w:val="36"/>
          <w:szCs w:val="36"/>
        </w:rPr>
        <w:t xml:space="preserve">Personal GenAI vs Firm Operations</w:t>
      </w:r>
    </w:p>
    <w:p>
      <w:pPr>
        <w:spacing w:after="160"/>
      </w:pPr>
      <w:r>
        <w:rPr>
          <w:color w:val="444444"/>
          <w:sz w:val="26"/>
          <w:szCs w:val="26"/>
        </w:rPr>
        <w:t xml:space="preserve">What 2025–2026 evidence actually supports for law firms</w:t>
      </w:r>
    </w:p>
    <w:p>
      <w:pPr>
        <w:spacing w:after="120"/>
      </w:pPr>
      <w:r>
        <w:rPr>
          <w:sz w:val="22"/>
          <w:szCs w:val="22"/>
        </w:rPr>
        <w:t xml:space="preserve">For managing partners and ops leads. Not ChatGPT tips. Not autonomous legal advice. A short brief on the gap between individual AI use and governed firm workflows — with sources classified, claims to avoid, and the first two systems worth building.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AI prepares the file. The lawyer decides. Ownership, logging, and human approval stay with the firm.</w:t>
      </w:r>
    </w:p>
    <w:p>
      <w:pPr>
        <w:pStyle w:val="Heading1"/>
        <w:spacing w:after="160" w:before="280"/>
      </w:pPr>
      <w:r>
        <w:t xml:space="preserve">The one-line market truth</w:t>
      </w:r>
    </w:p>
    <w:p>
      <w:pPr>
        <w:pBdr>
          <w:left w:val="single" w:color="6B5CE7" w:sz="18" w:space="12"/>
        </w:pBdr>
        <w:spacing w:after="160" w:before="120"/>
        <w:ind w:left="200"/>
      </w:pPr>
      <w:r>
        <w:rPr>
          <w:i/>
          <w:iCs/>
          <w:sz w:val="22"/>
          <w:szCs w:val="22"/>
        </w:rPr>
        <w:t xml:space="preserve">Lawyers are experimenting with AI, but most firms still lack governed systems that connect intake, documents, matter administration, and client communication.</w:t>
      </w:r>
    </w:p>
    <w:p>
      <w:pPr>
        <w:spacing w:after="120"/>
      </w:pPr>
      <w:r>
        <w:rPr>
          <w:sz w:val="22"/>
          <w:szCs w:val="22"/>
        </w:rPr>
        <w:t xml:space="preserve">Personal GenAI use is growing quickly. Firm-wide operational automation is much less mature. That gap — not “AI for lawyers” as a slogan — is what this brief is about.</w:t>
      </w:r>
    </w:p>
    <w:p>
      <w:pPr>
        <w:pStyle w:val="Heading1"/>
        <w:spacing w:after="160" w:before="280"/>
      </w:pPr>
      <w:r>
        <w:t xml:space="preserve">1. Two different things (do not conflate)</w:t>
      </w:r>
    </w:p>
    <w:p>
      <w:pPr>
        <w:pStyle w:val="Heading3"/>
        <w:spacing w:after="100" w:before="200"/>
      </w:pPr>
      <w:r>
        <w:t xml:space="preserve">Personal GenAI use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Who: individual lawyer, paralegal, or staff member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Tools: ChatGPT, Claude, Gemini, legal research assistants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Uses: drafting correspondence, brainstorming, summarising, research help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Governance: often informal or unauthorised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Evidence: stronger survey data (ABA, Thomson Reuters)</w:t>
      </w:r>
    </w:p>
    <w:p>
      <w:pPr>
        <w:pStyle w:val="Heading3"/>
        <w:spacing w:after="100" w:before="200"/>
      </w:pPr>
      <w:r>
        <w:t xml:space="preserve">Firm-wide automation systems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Who: firm leadership, operations, IT, practice groups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Tools: PMS integrations, intake systems, document workflows, approval queues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Uses: intake routing, document assembly, matter setup, status workflows, deadline watch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Governance: permissions, logs, ownership, testing, retention, approval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Evidence: thinner public data; do not invent maturity from personal-use stats</w:t>
      </w:r>
    </w:p>
    <w:p>
      <w:pPr>
        <w:pStyle w:val="Heading1"/>
        <w:spacing w:after="160" w:before="280"/>
      </w:pPr>
      <w:r>
        <w:t xml:space="preserve">2. What the stronger sources say</w:t>
      </w:r>
    </w:p>
    <w:p>
      <w:pPr>
        <w:pStyle w:val="Heading2"/>
        <w:spacing w:after="120" w:before="240"/>
      </w:pPr>
      <w:r>
        <w:t xml:space="preserve">ABA Legal Industry Report 2025</w:t>
      </w:r>
    </w:p>
    <w:p>
      <w:pPr>
        <w:spacing w:after="120"/>
      </w:pPr>
      <w:r>
        <w:rPr>
          <w:sz w:val="22"/>
          <w:szCs w:val="22"/>
        </w:rPr>
        <w:t xml:space="preserve">Survey of 2,800+ legal professionals. Distinguishes growing individual use from slower firm-wide adoption.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54% use AI to draft correspondence (personal / professional use).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14% use AI to analyse firm data and matters.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47% expressed notable concern about reliability or related risks.</w:t>
      </w:r>
    </w:p>
    <w:p>
      <w:pPr>
        <w:spacing w:after="120"/>
      </w:pPr>
      <w:r>
        <w:rPr>
          <w:sz w:val="22"/>
          <w:szCs w:val="22"/>
        </w:rPr>
        <w:t xml:space="preserve">Federal Bar Association summary of the same report: ~65% of individual AI users saved 1–5 hours/week; 12% saved 6–10; 7% saved 11+. Self-reported GenAI savings — not proof the firm automated the underlying workflow.</w:t>
      </w:r>
    </w:p>
    <w:p>
      <w:pPr>
        <w:spacing w:after="120"/>
      </w:pPr>
      <w:r>
        <w:rPr>
          <w:sz w:val="22"/>
          <w:szCs w:val="22"/>
        </w:rPr>
        <w:t xml:space="preserve">Firm size: ~20% of firms with ≤50 lawyers had implemented legal-specific AI vs ~39% of firms with 51+. Small and mid-sized firms are interested but less mature on implementation.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Source: americanbar.org · Legal Industry Report 2025; fedbar.org summary.</w:t>
      </w:r>
    </w:p>
    <w:p>
      <w:pPr>
        <w:pStyle w:val="Heading2"/>
        <w:spacing w:after="120" w:before="240"/>
      </w:pPr>
      <w:r>
        <w:t xml:space="preserve">Thomson Reuters Future of Professionals Report 2025</w:t>
      </w:r>
    </w:p>
    <w:p>
      <w:pPr>
        <w:spacing w:after="120"/>
      </w:pPr>
      <w:r>
        <w:rPr>
          <w:sz w:val="22"/>
          <w:szCs w:val="22"/>
        </w:rPr>
        <w:t xml:space="preserve">2,275 professionals across legal and adjacent fields (Feb–Mar 2025). Estimates nearly 240 hours per year could be freed (up from 200 in 2024), with an estimated annual value around $19,000 per professional.</w:t>
      </w:r>
    </w:p>
    <w:p>
      <w:pPr>
        <w:spacing w:after="120"/>
      </w:pPr>
      <w:r>
        <w:rPr>
          <w:b/>
          <w:bCs/>
          <w:sz w:val="22"/>
          <w:szCs w:val="22"/>
        </w:rPr>
        <w:t xml:space="preserve">Classify correctly: personal/professional AI productivity estimate — not a measured firm workflow ROI.</w:t>
      </w:r>
    </w:p>
    <w:p>
      <w:pPr>
        <w:spacing w:after="120"/>
      </w:pPr>
      <w:r>
        <w:rPr>
          <w:sz w:val="22"/>
          <w:szCs w:val="22"/>
        </w:rPr>
        <w:t xml:space="preserve">Separate reporting: legal GenAI use rising from 14% (2024) to 26% (2025); 45% said they use GenAI or planned to make it central within the year. Intent ≠ governed intake, packs, status, or deadline systems.</w:t>
      </w:r>
    </w:p>
    <w:p>
      <w:pPr>
        <w:spacing w:after="120"/>
      </w:pPr>
      <w:r>
        <w:rPr>
          <w:i/>
          <w:iCs/>
          <w:sz w:val="22"/>
          <w:szCs w:val="22"/>
        </w:rPr>
        <w:t xml:space="preserve">Source: Thomson Reuters Future of Professionals Report 2025 PDF.</w:t>
      </w:r>
    </w:p>
    <w:p>
      <w:pPr>
        <w:pStyle w:val="Heading2"/>
        <w:spacing w:after="120" w:before="240"/>
      </w:pPr>
      <w:r>
        <w:t xml:space="preserve">Firm-level perception (not validated ops ROI)</w:t>
      </w:r>
    </w:p>
    <w:p>
      <w:pPr>
        <w:spacing w:after="120"/>
      </w:pPr>
      <w:r>
        <w:rPr>
          <w:sz w:val="22"/>
          <w:szCs w:val="22"/>
        </w:rPr>
        <w:t xml:space="preserve">FBA summary of ABA: 61% said firm AI adoption somewhat increased efficiency; 21% significant; 2% decreased. Treat as perception of “firm AI,” not audited workflow ROI with ownership and logs.</w:t>
      </w:r>
    </w:p>
    <w:p>
      <w:pPr>
        <w:pStyle w:val="Heading1"/>
        <w:spacing w:after="160" w:before="280"/>
      </w:pPr>
      <w:r>
        <w:t xml:space="preserve">3. Non-billable admin — what is defensible</w:t>
      </w:r>
    </w:p>
    <w:p>
      <w:pPr>
        <w:spacing w:after="120"/>
      </w:pPr>
      <w:r>
        <w:rPr>
          <w:sz w:val="22"/>
          <w:szCs w:val="22"/>
        </w:rPr>
        <w:t xml:space="preserve">Lawyers spend substantial time on non-billable work. Exact “hours per day” figures circulating online are often not traceable to primary sources.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A 2025 legal-tech survey (AllRize) says admin (email, scheduling, filing) consumes ~40% of non-billable time — largest non-billable drain. Methodological detail is thinner than ABA/TR; use carefully.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Vendor claim “2.5 hours/attorney/day” and “$625k for a five-attorney firm” is arithmetic on a vendor-attributed figure — do not present as a universal Clio benchmark.</w:t>
      </w:r>
    </w:p>
    <w:p>
      <w:pPr>
        <w:pBdr>
          <w:left w:val="single" w:color="6B5CE7" w:sz="18" w:space="12"/>
        </w:pBdr>
        <w:spacing w:after="160" w:before="120"/>
        <w:ind w:left="200"/>
      </w:pPr>
      <w:r>
        <w:rPr>
          <w:i/>
          <w:iCs/>
          <w:sz w:val="22"/>
          <w:szCs w:val="22"/>
        </w:rPr>
        <w:t xml:space="preserve">Administrative work is a major productivity drain. Calculate cost from your own time data — staff hours × loaded rate × volume — not someone else’s blog math.</w:t>
      </w:r>
    </w:p>
    <w:p>
      <w:pPr>
        <w:spacing w:after="120"/>
      </w:pPr>
      <w:r>
        <w:rPr>
          <w:sz w:val="22"/>
          <w:szCs w:val="22"/>
        </w:rPr>
        <w:t xml:space="preserve">Better market-level framing: Thomson Reuters’ ~240-hour annual potential as context, then measure your firm. Do not promise to recover all 240 hours.</w:t>
      </w:r>
    </w:p>
    <w:p>
      <w:pPr>
        <w:pStyle w:val="Heading1"/>
        <w:spacing w:after="160" w:before="280"/>
      </w:pPr>
      <w:r>
        <w:t xml:space="preserve">4. Intake and enquiry response</w:t>
      </w:r>
    </w:p>
    <w:p>
      <w:pPr>
        <w:spacing w:after="120"/>
      </w:pPr>
      <w:r>
        <w:rPr>
          <w:sz w:val="22"/>
          <w:szCs w:val="22"/>
        </w:rPr>
        <w:t xml:space="preserve">Primary older evidence — Clio 2019 secret shopper (label as older than 2024): 1,000 emails / 500 calls; only 40% of firms responded to email; 56% of calls answered by a person; more than half did not return voicemails within 72 hours. Of firms that did respond to email, 82% within 24 hours.</w:t>
      </w:r>
    </w:p>
    <w:p>
      <w:pPr>
        <w:spacing w:after="120"/>
      </w:pPr>
      <w:r>
        <w:rPr>
          <w:sz w:val="22"/>
          <w:szCs w:val="22"/>
        </w:rPr>
        <w:t xml:space="preserve">More recent secret-shopper style evidence (2025, Hennessey Digital as reported by Pareto Legal): 1,333 US law-firm websites; median response 13 minutes; 25% within five minutes; 26% did not respond within seven days.</w:t>
      </w:r>
    </w:p>
    <w:p>
      <w:pPr>
        <w:spacing w:after="120"/>
      </w:pPr>
      <w:r>
        <w:rPr>
          <w:b/>
          <w:bCs/>
          <w:sz w:val="22"/>
          <w:szCs w:val="22"/>
        </w:rPr>
        <w:t xml:space="preserve">Safe conclusions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Intake response performance is inconsistent.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 meaningful share of firms respond slowly or not at all.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Speed-to-lead is an operational opportunity.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 website form alone is not an intake system.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Acknowledgement, structured capture, routing, scheduling, and human follow-up are distinct components.</w:t>
      </w:r>
    </w:p>
    <w:p>
      <w:pPr>
        <w:spacing w:after="120"/>
      </w:pPr>
      <w:r>
        <w:rPr>
          <w:b/>
          <w:bCs/>
          <w:sz w:val="22"/>
          <w:szCs w:val="22"/>
        </w:rPr>
        <w:t xml:space="preserve">Avoid unless you verify the primary dataset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“Respond within five minutes → 8× or 21× conversion” — widely repeated; primary methodology often unclear.</w:t>
      </w:r>
    </w:p>
    <w:p>
      <w:pPr>
        <w:pStyle w:val="Heading1"/>
        <w:spacing w:after="160" w:before="280"/>
      </w:pPr>
      <w:r>
        <w:t xml:space="preserve">5. Document and pack assembly</w:t>
      </w:r>
    </w:p>
    <w:p>
      <w:pPr>
        <w:spacing w:after="120"/>
      </w:pPr>
      <w:r>
        <w:rPr>
          <w:sz w:val="22"/>
          <w:szCs w:val="22"/>
        </w:rPr>
        <w:t xml:space="preserve">Thomson Reuters reports lawyers have achieved up to 82% time savings with document automation for contracts and other documents — a maximum reported result, not an average guarantee.</w:t>
      </w:r>
    </w:p>
    <w:p>
      <w:pPr>
        <w:spacing w:after="120"/>
      </w:pPr>
      <w:r>
        <w:rPr>
          <w:sz w:val="22"/>
          <w:szCs w:val="22"/>
        </w:rPr>
        <w:t xml:space="preserve">Harvard Law School CLP describes a high-volume litigation use case cutting associate effort from ~16 hours to minutes. Specific workflow — not a benchmark for all drafting.</w:t>
      </w:r>
    </w:p>
    <w:p>
      <w:pPr>
        <w:spacing w:after="120"/>
      </w:pPr>
      <w:r>
        <w:rPr>
          <w:b/>
          <w:bCs/>
          <w:sz w:val="22"/>
          <w:szCs w:val="22"/>
        </w:rPr>
        <w:t xml:space="preserve">Best-supported opportunities are not autonomous legal advice. They are:</w:t>
      </w:r>
    </w:p>
    <w:p>
      <w:pPr>
        <w:pStyle w:val="ListParagraph"/>
        <w:numPr>
          <w:ilvl w:val="0"/>
          <w:numId w:val="5"/>
        </w:numPr>
        <w:spacing w:after="80"/>
      </w:pPr>
      <w:r>
        <w:t xml:space="preserve">Repeatable template assembly</w:t>
      </w:r>
    </w:p>
    <w:p>
      <w:pPr>
        <w:pStyle w:val="ListParagraph"/>
        <w:numPr>
          <w:ilvl w:val="0"/>
          <w:numId w:val="5"/>
        </w:numPr>
        <w:spacing w:after="80"/>
      </w:pPr>
      <w:r>
        <w:t xml:space="preserve">Structured intake → document fields</w:t>
      </w:r>
    </w:p>
    <w:p>
      <w:pPr>
        <w:pStyle w:val="ListParagraph"/>
        <w:numPr>
          <w:ilvl w:val="0"/>
          <w:numId w:val="5"/>
        </w:numPr>
        <w:spacing w:after="80"/>
      </w:pPr>
      <w:r>
        <w:t xml:space="preserve">Standard letters and engagement / request packs</w:t>
      </w:r>
    </w:p>
    <w:p>
      <w:pPr>
        <w:pStyle w:val="ListParagraph"/>
        <w:numPr>
          <w:ilvl w:val="0"/>
          <w:numId w:val="5"/>
        </w:numPr>
        <w:spacing w:after="80"/>
      </w:pPr>
      <w:r>
        <w:t xml:space="preserve">Classification, versioning, filing, routing, approval</w:t>
      </w:r>
    </w:p>
    <w:p>
      <w:pPr>
        <w:pBdr>
          <w:left w:val="single" w:color="6B5CE7" w:sz="18" w:space="12"/>
        </w:pBdr>
        <w:spacing w:after="160" w:before="120"/>
        <w:ind w:left="200"/>
      </w:pPr>
      <w:r>
        <w:rPr>
          <w:i/>
          <w:iCs/>
          <w:sz w:val="22"/>
          <w:szCs w:val="22"/>
        </w:rPr>
        <w:t xml:space="preserve">Reduce repetitive document preparation while keeping the lawyer responsible for review and final approval.</w:t>
      </w:r>
    </w:p>
    <w:p>
      <w:pPr>
        <w:pStyle w:val="Heading1"/>
        <w:spacing w:after="160" w:before="280"/>
      </w:pPr>
      <w:r>
        <w:t xml:space="preserve">6. “Where is this?” status chase</w:t>
      </w:r>
    </w:p>
    <w:p>
      <w:pPr>
        <w:spacing w:after="120"/>
      </w:pPr>
      <w:r>
        <w:rPr>
          <w:sz w:val="22"/>
          <w:szCs w:val="22"/>
        </w:rPr>
        <w:t xml:space="preserve">There is no strong primary 2024–2026 benchmark for the share of staff time spent on client status requests. Do not claim “firms spend 30% of time on status questions.”</w:t>
      </w:r>
    </w:p>
    <w:p>
      <w:pPr>
        <w:spacing w:after="120"/>
      </w:pPr>
      <w:r>
        <w:rPr>
          <w:sz w:val="22"/>
          <w:szCs w:val="22"/>
        </w:rPr>
        <w:t xml:space="preserve">Vendor portal claims (e.g. large email/call reductions) lack transparent independent methodology — skip them in public claims.</w:t>
      </w:r>
    </w:p>
    <w:p>
      <w:pPr>
        <w:spacing w:after="120"/>
      </w:pPr>
      <w:r>
        <w:rPr>
          <w:b/>
          <w:bCs/>
          <w:sz w:val="22"/>
          <w:szCs w:val="22"/>
        </w:rPr>
        <w:t xml:space="preserve">Measure it on the audit instead</w:t>
      </w:r>
    </w:p>
    <w:p>
      <w:pPr>
        <w:pStyle w:val="ListParagraph"/>
        <w:numPr>
          <w:ilvl w:val="0"/>
          <w:numId w:val="6"/>
        </w:numPr>
        <w:spacing w:after="80"/>
      </w:pPr>
      <w:r>
        <w:t xml:space="preserve">Sample 2–4 weeks of inbound client emails, calls, portal messages, status and document questions.</w:t>
      </w:r>
    </w:p>
    <w:p>
      <w:pPr>
        <w:pStyle w:val="ListParagraph"/>
        <w:numPr>
          <w:ilvl w:val="0"/>
          <w:numId w:val="6"/>
        </w:numPr>
        <w:spacing w:after="80"/>
      </w:pPr>
      <w:r>
        <w:t xml:space="preserve">Classify: status / missing doc / next step / payment / appointment / legal question / urgent.</w:t>
      </w:r>
    </w:p>
    <w:p>
      <w:pPr>
        <w:pStyle w:val="ListParagraph"/>
        <w:numPr>
          <w:ilvl w:val="0"/>
          <w:numId w:val="6"/>
        </w:numPr>
        <w:spacing w:after="80"/>
      </w:pPr>
      <w:r>
        <w:t xml:space="preserve">Cost = requests × average handling time × loaded staff cost.</w:t>
      </w:r>
    </w:p>
    <w:p>
      <w:pPr>
        <w:pStyle w:val="Heading1"/>
        <w:spacing w:after="160" w:before="280"/>
      </w:pPr>
      <w:r>
        <w:t xml:space="preserve">7. Budget signals (not WTP surveys)</w:t>
      </w:r>
    </w:p>
    <w:p>
      <w:pPr>
        <w:spacing w:after="120"/>
      </w:pPr>
      <w:r>
        <w:rPr>
          <w:sz w:val="22"/>
          <w:szCs w:val="22"/>
        </w:rPr>
        <w:t xml:space="preserve">No robust public survey shows exact willingness to pay for a custom monthly ops program. Adjacent signals: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Practice-management software often ~$39–$149 per user/month; legal AI tools often ~$50–$200+/user/month (higher for enterprise).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Published legal-ops / automation provider plans often sit roughly $300–$3,000/month plus setup — commercial pricing, not research.</w:t>
      </w:r>
    </w:p>
    <w:p>
      <w:pPr>
        <w:spacing w:after="120"/>
      </w:pPr>
      <w:r>
        <w:rPr>
          <w:sz w:val="22"/>
          <w:szCs w:val="22"/>
        </w:rPr>
        <w:t xml:space="preserve">For small/mid firms: ~€1,000/month is plausible for a narrow program; €2,000–€2,500 needs clear intake, document, billing, or capacity value; €5,000 usually needs multi-group volume or a broader application roadmap.</w:t>
      </w:r>
    </w:p>
    <w:p>
      <w:pPr>
        <w:spacing w:after="120"/>
      </w:pPr>
      <w:r>
        <w:rPr>
          <w:sz w:val="22"/>
          <w:szCs w:val="22"/>
        </w:rPr>
        <w:t xml:space="preserve">Buyers approve fees for faster intake, more matters handled, less staff dependency, less rework, better response — not for “AI” as a word.</w:t>
      </w:r>
    </w:p>
    <w:p>
      <w:pPr>
        <w:pStyle w:val="Heading1"/>
        <w:spacing w:after="160" w:before="280"/>
      </w:pPr>
      <w:r>
        <w:t xml:space="preserve">8. First two workflows worth building</w:t>
      </w:r>
    </w:p>
    <w:p>
      <w:pPr>
        <w:pStyle w:val="Heading2"/>
        <w:spacing w:after="120" w:before="240"/>
      </w:pPr>
      <w:r>
        <w:t xml:space="preserve">A. Legal Intake Operations System</w:t>
      </w:r>
    </w:p>
    <w:p>
      <w:pPr>
        <w:pStyle w:val="ListParagraph"/>
        <w:numPr>
          <w:ilvl w:val="0"/>
          <w:numId w:val="7"/>
        </w:numPr>
        <w:spacing w:after="80"/>
      </w:pPr>
      <w:r>
        <w:t xml:space="preserve">Website / form / call capture</w:t>
      </w:r>
    </w:p>
    <w:p>
      <w:pPr>
        <w:pStyle w:val="ListParagraph"/>
        <w:numPr>
          <w:ilvl w:val="0"/>
          <w:numId w:val="7"/>
        </w:numPr>
        <w:spacing w:after="80"/>
      </w:pPr>
      <w:r>
        <w:t xml:space="preserve">Structured matter information</w:t>
      </w:r>
    </w:p>
    <w:p>
      <w:pPr>
        <w:pStyle w:val="ListParagraph"/>
        <w:numPr>
          <w:ilvl w:val="0"/>
          <w:numId w:val="7"/>
        </w:numPr>
        <w:spacing w:after="80"/>
      </w:pPr>
      <w:r>
        <w:t xml:space="preserve">Automated acknowledgement</w:t>
      </w:r>
    </w:p>
    <w:p>
      <w:pPr>
        <w:pStyle w:val="ListParagraph"/>
        <w:numPr>
          <w:ilvl w:val="0"/>
          <w:numId w:val="7"/>
        </w:numPr>
        <w:spacing w:after="80"/>
      </w:pPr>
      <w:r>
        <w:t xml:space="preserve">Consultation booking</w:t>
      </w:r>
    </w:p>
    <w:p>
      <w:pPr>
        <w:pStyle w:val="ListParagraph"/>
        <w:numPr>
          <w:ilvl w:val="0"/>
          <w:numId w:val="7"/>
        </w:numPr>
        <w:spacing w:after="80"/>
      </w:pPr>
      <w:r>
        <w:t xml:space="preserve">Conflict-check preparation</w:t>
      </w:r>
    </w:p>
    <w:p>
      <w:pPr>
        <w:pStyle w:val="ListParagraph"/>
        <w:numPr>
          <w:ilvl w:val="0"/>
          <w:numId w:val="7"/>
        </w:numPr>
        <w:spacing w:after="80"/>
      </w:pPr>
      <w:r>
        <w:t xml:space="preserve">PMS / CRM record creation</w:t>
      </w:r>
    </w:p>
    <w:p>
      <w:pPr>
        <w:pStyle w:val="ListParagraph"/>
        <w:numPr>
          <w:ilvl w:val="0"/>
          <w:numId w:val="7"/>
        </w:numPr>
        <w:spacing w:after="80"/>
      </w:pPr>
      <w:r>
        <w:t xml:space="preserve">Document-request workflow + follow-up reminders</w:t>
      </w:r>
    </w:p>
    <w:p>
      <w:pPr>
        <w:pStyle w:val="ListParagraph"/>
        <w:numPr>
          <w:ilvl w:val="0"/>
          <w:numId w:val="7"/>
        </w:numPr>
        <w:spacing w:after="80"/>
      </w:pPr>
      <w:r>
        <w:t xml:space="preserve">Human approval, logs, and ownership</w:t>
      </w:r>
    </w:p>
    <w:p>
      <w:pPr>
        <w:spacing w:after="120"/>
      </w:pPr>
      <w:r>
        <w:rPr>
          <w:sz w:val="22"/>
          <w:szCs w:val="22"/>
        </w:rPr>
        <w:t xml:space="preserve">Why first: operational (not advisory), ROI measurable, lawyer control retained, does not require ripping out Clio / MyCase / PracticePanther.</w:t>
      </w:r>
    </w:p>
    <w:p>
      <w:pPr>
        <w:pStyle w:val="Heading2"/>
        <w:spacing w:after="120" w:before="240"/>
      </w:pPr>
      <w:r>
        <w:t xml:space="preserve">B. Document Assembly &amp; Matter-Preparation System</w:t>
      </w:r>
    </w:p>
    <w:p>
      <w:pPr>
        <w:pStyle w:val="ListParagraph"/>
        <w:numPr>
          <w:ilvl w:val="0"/>
          <w:numId w:val="5"/>
        </w:numPr>
        <w:spacing w:after="80"/>
      </w:pPr>
      <w:r>
        <w:t xml:space="preserve">Approved templates + structured questionnaire</w:t>
      </w:r>
    </w:p>
    <w:p>
      <w:pPr>
        <w:pStyle w:val="ListParagraph"/>
        <w:numPr>
          <w:ilvl w:val="0"/>
          <w:numId w:val="5"/>
        </w:numPr>
        <w:spacing w:after="80"/>
      </w:pPr>
      <w:r>
        <w:t xml:space="preserve">Pack generation + missing-information tracking</w:t>
      </w:r>
    </w:p>
    <w:p>
      <w:pPr>
        <w:pStyle w:val="ListParagraph"/>
        <w:numPr>
          <w:ilvl w:val="0"/>
          <w:numId w:val="5"/>
        </w:numPr>
        <w:spacing w:after="80"/>
      </w:pPr>
      <w:r>
        <w:t xml:space="preserve">Review queue, versioning, filing, PMS handoff</w:t>
      </w:r>
    </w:p>
    <w:p>
      <w:pPr>
        <w:pStyle w:val="ListParagraph"/>
        <w:numPr>
          <w:ilvl w:val="0"/>
          <w:numId w:val="5"/>
        </w:numPr>
        <w:spacing w:after="80"/>
      </w:pPr>
      <w:r>
        <w:t xml:space="preserve">Approval log</w:t>
      </w:r>
    </w:p>
    <w:p>
      <w:pPr>
        <w:pStyle w:val="Heading1"/>
        <w:spacing w:after="160" w:before="280"/>
      </w:pPr>
      <w:r>
        <w:t xml:space="preserve">Claims you can safely use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Firms are adopting GenAI faster than they are implementing governed firm-wide systems. (ABA 2025)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Individual lawyers report measurable time savings from GenAI use. (ABA / FBA)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Thomson Reuters estimates nearly 240 hours per professional per year could be freed as AI adoption progresses — as context, not a promise.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Document automation has produced very large time savings in specific high-volume workflows.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Law-firm intake response is inconsistent; recent secret-shopper research shows a meaningful share respond slowly or not at all.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Eterna builds controlled workflows where AI prepares and authorised people decide.</w:t>
      </w:r>
    </w:p>
    <w:p>
      <w:pPr>
        <w:pStyle w:val="Heading1"/>
        <w:spacing w:after="160" w:before="280"/>
      </w:pPr>
      <w:r>
        <w:t xml:space="preserve">Claims to avoid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“Law firms lose 2.5 hours per lawyer per day to admin” — unless labelled as a vendor claim.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“Five-minute response converts 21× better” — unless primary dataset verified.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“AI intake increases conversion by 400%.”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“70% of law firms have document automation” without confirming production-grade firm systems vs personal tools.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“AI can handle deadlines autonomously.”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“AI gives legal advice.”</w:t>
      </w:r>
    </w:p>
    <w:p>
      <w:pPr>
        <w:pStyle w:val="ListParagraph"/>
        <w:numPr>
          <w:ilvl w:val="0"/>
          <w:numId w:val="4"/>
        </w:numPr>
        <w:spacing w:after="80"/>
      </w:pPr>
      <w:r>
        <w:t xml:space="preserve">“Client portals cut calls 90%” without an independently documented case.</w:t>
      </w:r>
    </w:p>
    <w:p>
      <w:pPr>
        <w:pStyle w:val="Heading1"/>
        <w:spacing w:after="160" w:before="280"/>
      </w:pPr>
      <w:r>
        <w:t xml:space="preserve">Strong positioning line</w:t>
      </w:r>
    </w:p>
    <w:p>
      <w:pPr>
        <w:pBdr>
          <w:left w:val="single" w:color="6B5CE7" w:sz="18" w:space="12"/>
        </w:pBdr>
        <w:spacing w:after="160" w:before="120"/>
        <w:ind w:left="200"/>
      </w:pPr>
      <w:r>
        <w:rPr>
          <w:i/>
          <w:iCs/>
          <w:sz w:val="22"/>
          <w:szCs w:val="22"/>
        </w:rPr>
        <w:t xml:space="preserve">Individual lawyers are increasingly using GenAI for drafting, correspondence, and research. The next gap is firm-level implementation: intake routing, document assembly, matter administration, and client communication — with clear ownership and human review.</w:t>
      </w:r>
    </w:p>
    <w:p>
      <w:pPr>
        <w:pStyle w:val="Heading1"/>
        <w:spacing w:after="160" w:before="280"/>
      </w:pPr>
      <w: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Map what still happens by hand across Attract → Bill (public estimate — not a full audit):</w:t>
      </w:r>
    </w:p>
    <w:p>
      <w:pPr>
        <w:spacing w:after="120"/>
      </w:pPr>
      <w:r>
        <w:rPr>
          <w:sz w:val="22"/>
          <w:szCs w:val="22"/>
        </w:rPr>
        <w:t xml:space="preserve">https://www.eternacreative.com/diagnostics/law-firms</w:t>
      </w:r>
    </w:p>
    <w:p>
      <w:pPr>
        <w:spacing w:after="120"/>
      </w:pPr>
      <w:r>
        <w:rPr>
          <w:sz w:val="22"/>
          <w:szCs w:val="22"/>
        </w:rPr>
        <w:t xml:space="preserve">Five first automations (sequence):</w:t>
      </w:r>
    </w:p>
    <w:p>
      <w:pPr>
        <w:spacing w:after="120"/>
      </w:pPr>
      <w:r>
        <w:rPr>
          <w:sz w:val="22"/>
          <w:szCs w:val="22"/>
        </w:rPr>
        <w:t xml:space="preserve">https://www.eternacreative.com/blog/five-first-automations-law-firms</w:t>
      </w:r>
    </w:p>
    <w:p>
      <w:pPr>
        <w:spacing w:after="120"/>
      </w:pPr>
      <w:r>
        <w:rPr>
          <w:sz w:val="22"/>
          <w:szCs w:val="22"/>
        </w:rPr>
        <w:t xml:space="preserve">Book a free automation audit:</w:t>
      </w:r>
    </w:p>
    <w:p>
      <w:pPr>
        <w:spacing w:after="120"/>
      </w:pPr>
      <w:r>
        <w:rPr>
          <w:sz w:val="22"/>
          <w:szCs w:val="22"/>
        </w:rPr>
        <w:t xml:space="preserve">https://www.eternacreative.com/operations/law-firms#operations-audit</w:t>
      </w:r>
    </w:p>
    <w:p>
      <w:pPr>
        <w:spacing w:after="120"/>
      </w:pPr>
      <w:r>
        <w:rPr>
          <w:sz w:val="22"/>
          <w:szCs w:val="22"/>
        </w:rPr>
        <w:t xml:space="preserve">Checklist download: https://www.eternacreative.com/content/law-firms-diagnostic-checklist.md</w:t>
      </w:r>
    </w:p>
    <w:p>
      <w:pPr>
        <w:pStyle w:val="Heading1"/>
        <w:spacing w:after="160" w:before="280"/>
      </w:pPr>
      <w:r>
        <w:t xml:space="preserve">Source notes (short)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Primary / stronger: ABA Legal Industry Report 2025; Thomson Reuters Future of Professionals 2025; FBA summary; Clio 2019 secret shopper (older); Pareto/Hennessey 2025 lead-response; Harvard CLP case; TR document automation article.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Vendor / secondary: treat Layer3Labs hours math, many “Clio” conversion multiples, portal reduction %, and single-vendor case studies as labelled and non-definitive.</w:t>
      </w:r>
    </w:p>
    <w:p>
      <w:pPr>
        <w:spacing w:after="120"/>
      </w:pPr>
      <w:r>
        <w:rPr>
          <w:sz w:val="22"/>
          <w:szCs w:val="22"/>
        </w:rPr>
        <w:t xml:space="preserve">Research file archived for internal use: docs/content-matrix/research/law-magnet-1-verification-2026.md</w:t>
      </w:r>
    </w:p>
    <w:p>
      <w:pPr>
        <w:spacing w:after="120"/>
      </w:pPr>
      <w:r>
        <w:rPr>
          <w:color w:val="666666"/>
          <w:sz w:val="18"/>
          <w:szCs w:val="18"/>
        </w:rPr>
        <w:t xml:space="preserve">© Eterna Creative · eternacreative.com · Not legal advice. Evidence summary for operations planning.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abstractNum w:abstractNumId="6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GenAI vs Firm Operations — Law Firm Brief (2025–2026 evidence)</dc:title>
  <dc:creator>Eterna Creative</dc:creator>
  <dc:description>Evidence brief for managing partners and ops leads: what the research supports, what to avoid, and the first two workflows worth building.</dc:description>
  <cp:lastModifiedBy>Un-named</cp:lastModifiedBy>
  <cp:revision>1</cp:revision>
  <dcterms:created xsi:type="dcterms:W3CDTF">2026-08-14T23:03:16.578Z</dcterms:created>
  <dcterms:modified xsi:type="dcterms:W3CDTF">2026-08-14T23:03:16.579Z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